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803" w:tblpY="2696"/>
        <w:tblOverlap w:val="never"/>
        <w:tblW w:w="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7" w:hRule="atLeast"/>
        </w:trPr>
        <w:tc>
          <w:tcPr>
            <w:tcW w:w="8420" w:type="dxa"/>
            <w:tcBorders>
              <w:tl2br w:val="nil"/>
              <w:tr2bl w:val="nil"/>
            </w:tcBorders>
          </w:tcPr>
          <w:p>
            <w:pPr>
              <w:jc w:val="center"/>
              <w:rPr>
                <w:rFonts w:hint="eastAsia" w:ascii="微软雅黑" w:hAnsi="微软雅黑" w:eastAsia="微软雅黑" w:cs="微软雅黑"/>
                <w:color w:val="auto"/>
                <w:spacing w:val="113"/>
                <w:sz w:val="52"/>
                <w:szCs w:val="52"/>
                <w:lang w:eastAsia="zh-CN"/>
              </w:rPr>
            </w:pPr>
            <w:r>
              <w:rPr>
                <w:rFonts w:hint="eastAsia" w:asciiTheme="minorEastAsia" w:hAnsiTheme="minorEastAsia" w:cstheme="minorEastAsia"/>
                <w:color w:val="auto"/>
                <w:spacing w:val="57"/>
                <w:sz w:val="72"/>
                <w:szCs w:val="72"/>
                <w:lang w:eastAsia="zh-CN"/>
              </w:rPr>
              <w:t>审核</w:t>
            </w:r>
            <w:r>
              <w:rPr>
                <w:rFonts w:hint="eastAsia" w:asciiTheme="minorEastAsia" w:hAnsiTheme="minorEastAsia" w:eastAsiaTheme="minorEastAsia" w:cstheme="minorEastAsia"/>
                <w:color w:val="auto"/>
                <w:spacing w:val="57"/>
                <w:sz w:val="72"/>
                <w:szCs w:val="72"/>
                <w:lang w:eastAsia="zh-CN"/>
              </w:rPr>
              <w:t>评估简报</w:t>
            </w:r>
          </w:p>
          <w:p>
            <w:pPr>
              <w:jc w:val="center"/>
              <w:rPr>
                <w:rFonts w:hint="eastAsia" w:ascii="仿宋_GB2312" w:hAnsi="仿宋_GB2312" w:eastAsia="仿宋_GB2312" w:cs="仿宋_GB2312"/>
                <w:color w:val="auto"/>
                <w:spacing w:val="0"/>
                <w:sz w:val="24"/>
                <w:szCs w:val="24"/>
                <w:lang w:val="en-US" w:eastAsia="zh-CN"/>
              </w:rPr>
            </w:pPr>
            <w:r>
              <w:rPr>
                <w:rFonts w:hint="default" w:ascii="Times New Roman" w:hAnsi="Times New Roman" w:eastAsia="仿宋_GB2312" w:cs="Times New Roman"/>
                <w:color w:val="auto"/>
                <w:spacing w:val="0"/>
                <w:sz w:val="28"/>
                <w:szCs w:val="28"/>
                <w:lang w:val="en-US" w:eastAsia="zh-CN"/>
              </w:rPr>
              <w:t>2024年第</w:t>
            </w:r>
            <w:r>
              <w:rPr>
                <w:rFonts w:hint="eastAsia" w:ascii="Times New Roman" w:hAnsi="Times New Roman" w:eastAsia="仿宋_GB2312" w:cs="Times New Roman"/>
                <w:color w:val="auto"/>
                <w:spacing w:val="0"/>
                <w:sz w:val="28"/>
                <w:szCs w:val="28"/>
                <w:lang w:val="en-US" w:eastAsia="zh-CN"/>
              </w:rPr>
              <w:t>2</w:t>
            </w:r>
            <w:r>
              <w:rPr>
                <w:rFonts w:hint="default" w:ascii="Times New Roman" w:hAnsi="Times New Roman" w:eastAsia="仿宋_GB2312" w:cs="Times New Roman"/>
                <w:color w:val="auto"/>
                <w:spacing w:val="0"/>
                <w:sz w:val="28"/>
                <w:szCs w:val="28"/>
                <w:lang w:val="en-US" w:eastAsia="zh-CN"/>
              </w:rPr>
              <w:t xml:space="preserve">期  </w:t>
            </w:r>
          </w:p>
          <w:p>
            <w:pPr>
              <w:jc w:val="left"/>
              <w:rPr>
                <w:rFonts w:hint="eastAsia" w:ascii="仿宋_GB2312" w:hAnsi="仿宋_GB2312" w:eastAsia="仿宋_GB2312" w:cs="仿宋_GB2312"/>
                <w:color w:val="auto"/>
                <w:spacing w:val="0"/>
                <w:sz w:val="24"/>
                <w:szCs w:val="24"/>
                <w:lang w:val="en-US" w:eastAsia="zh-CN"/>
              </w:rPr>
            </w:pPr>
          </w:p>
          <w:p>
            <w:pPr>
              <w:spacing w:line="400" w:lineRule="exact"/>
              <w:jc w:val="left"/>
              <w:rPr>
                <w:rFonts w:hint="eastAsia"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eastAsia="zh-CN"/>
              </w:rPr>
              <w:t>主办：</w:t>
            </w:r>
            <w:r>
              <w:rPr>
                <w:rFonts w:ascii="Times New Roman" w:hAnsi="Times New Roman" w:eastAsia="仿宋" w:cs="Times New Roman"/>
                <w:b/>
                <w:i w:val="0"/>
                <w:iCs w:val="0"/>
                <w:caps w:val="0"/>
                <w:color w:val="auto"/>
                <w:spacing w:val="0"/>
                <w:sz w:val="24"/>
                <w:szCs w:val="24"/>
                <w:shd w:val="clear"/>
              </w:rPr>
              <w:t>本科教育教学审核评估工作办公室</w:t>
            </w:r>
          </w:p>
          <w:p>
            <w:pPr>
              <w:jc w:val="left"/>
              <w:rPr>
                <w:rFonts w:hint="eastAsia" w:ascii="仿宋_GB2312" w:hAnsi="仿宋_GB2312" w:eastAsia="仿宋_GB2312" w:cs="仿宋_GB2312"/>
                <w:color w:val="auto"/>
                <w:spacing w:val="0"/>
                <w:sz w:val="24"/>
                <w:szCs w:val="24"/>
                <w:lang w:val="en-US" w:eastAsia="zh-CN"/>
              </w:rPr>
            </w:pPr>
            <w:r>
              <w:rPr>
                <w:rFonts w:hint="default" w:ascii="Times New Roman" w:hAnsi="Times New Roman" w:eastAsia="仿宋" w:cs="Times New Roman"/>
                <w:b/>
                <w:color w:val="auto"/>
                <w:sz w:val="24"/>
                <w:szCs w:val="24"/>
                <w:lang w:eastAsia="zh-CN"/>
              </w:rPr>
              <w:t>承办：</w:t>
            </w:r>
            <w:r>
              <w:rPr>
                <w:rFonts w:ascii="Times New Roman" w:hAnsi="Times New Roman" w:eastAsia="仿宋" w:cs="Times New Roman"/>
                <w:b/>
                <w:i w:val="0"/>
                <w:iCs w:val="0"/>
                <w:caps w:val="0"/>
                <w:color w:val="auto"/>
                <w:spacing w:val="0"/>
                <w:sz w:val="24"/>
                <w:szCs w:val="24"/>
                <w:shd w:val="clear"/>
              </w:rPr>
              <w:t>本科教育教学审核评估工作办公室秘书处</w:t>
            </w:r>
            <w:r>
              <w:rPr>
                <w:rFonts w:hint="default" w:ascii="Times New Roman" w:hAnsi="Times New Roman" w:eastAsia="仿宋" w:cs="Times New Roman"/>
                <w:b/>
                <w:color w:val="auto"/>
                <w:sz w:val="24"/>
                <w:szCs w:val="24"/>
                <w:lang w:val="en-US" w:eastAsia="zh-CN"/>
              </w:rPr>
              <w:t xml:space="preserve">  </w:t>
            </w:r>
            <w:r>
              <w:rPr>
                <w:rFonts w:hint="eastAsia" w:ascii="仿宋_GB2312" w:hAnsi="仿宋_GB2312" w:eastAsia="仿宋_GB2312" w:cs="仿宋_GB2312"/>
                <w:color w:val="auto"/>
                <w:spacing w:val="0"/>
                <w:sz w:val="21"/>
                <w:szCs w:val="21"/>
                <w:lang w:val="en-US" w:eastAsia="zh-CN"/>
              </w:rPr>
              <w:t xml:space="preserve">          </w:t>
            </w:r>
            <w:r>
              <w:rPr>
                <w:rFonts w:hint="default" w:ascii="Times New Roman" w:hAnsi="Times New Roman" w:eastAsia="仿宋" w:cs="Times New Roman"/>
                <w:b/>
                <w:color w:val="auto"/>
                <w:sz w:val="24"/>
                <w:szCs w:val="24"/>
              </w:rPr>
              <w:t>20</w:t>
            </w:r>
            <w:r>
              <w:rPr>
                <w:rFonts w:hint="default" w:ascii="Times New Roman" w:hAnsi="Times New Roman" w:eastAsia="仿宋" w:cs="Times New Roman"/>
                <w:b/>
                <w:color w:val="auto"/>
                <w:sz w:val="24"/>
                <w:szCs w:val="24"/>
                <w:lang w:val="en-US" w:eastAsia="zh-CN"/>
              </w:rPr>
              <w:t>24</w:t>
            </w:r>
            <w:r>
              <w:rPr>
                <w:rFonts w:hint="default" w:ascii="Times New Roman" w:hAnsi="Times New Roman" w:eastAsia="仿宋" w:cs="Times New Roman"/>
                <w:b/>
                <w:color w:val="auto"/>
                <w:sz w:val="24"/>
                <w:szCs w:val="24"/>
              </w:rPr>
              <w:t>年</w:t>
            </w:r>
            <w:r>
              <w:rPr>
                <w:rFonts w:hint="eastAsia" w:ascii="Times New Roman" w:hAnsi="Times New Roman" w:eastAsia="仿宋" w:cs="Times New Roman"/>
                <w:b/>
                <w:color w:val="auto"/>
                <w:sz w:val="24"/>
                <w:szCs w:val="24"/>
                <w:lang w:val="en-US" w:eastAsia="zh-CN"/>
              </w:rPr>
              <w:t>6</w:t>
            </w:r>
            <w:r>
              <w:rPr>
                <w:rFonts w:hint="default" w:ascii="Times New Roman" w:hAnsi="Times New Roman" w:eastAsia="仿宋" w:cs="Times New Roman"/>
                <w:b/>
                <w:color w:val="auto"/>
                <w:sz w:val="24"/>
                <w:szCs w:val="24"/>
              </w:rPr>
              <w:t>月</w:t>
            </w:r>
            <w:r>
              <w:rPr>
                <w:rFonts w:hint="eastAsia" w:ascii="Times New Roman" w:hAnsi="Times New Roman" w:eastAsia="仿宋" w:cs="Times New Roman"/>
                <w:b/>
                <w:color w:val="auto"/>
                <w:sz w:val="24"/>
                <w:szCs w:val="24"/>
                <w:lang w:val="en-US" w:eastAsia="zh-CN"/>
              </w:rPr>
              <w:t>1</w:t>
            </w:r>
            <w:r>
              <w:rPr>
                <w:rFonts w:hint="default" w:ascii="Times New Roman" w:hAnsi="Times New Roman" w:eastAsia="仿宋" w:cs="Times New Roman"/>
                <w:b/>
                <w:color w:val="auto"/>
                <w:sz w:val="24"/>
                <w:szCs w:val="24"/>
              </w:rPr>
              <w:t>日</w:t>
            </w:r>
          </w:p>
          <w:tbl>
            <w:tblPr>
              <w:tblStyle w:val="8"/>
              <w:tblW w:w="8204" w:type="dxa"/>
              <w:jc w:val="center"/>
              <w:tblBorders>
                <w:top w:val="single" w:color="C0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4"/>
            </w:tblGrid>
            <w:tr>
              <w:tblPrEx>
                <w:tblBorders>
                  <w:top w:val="single" w:color="C0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8204" w:type="dxa"/>
                  <w:noWrap w:val="0"/>
                  <w:vAlign w:val="top"/>
                </w:tcPr>
                <w:p>
                  <w:pPr>
                    <w:adjustRightInd w:val="0"/>
                    <w:snapToGrid w:val="0"/>
                    <w:spacing w:line="360" w:lineRule="auto"/>
                    <w:jc w:val="both"/>
                    <w:rPr>
                      <w:rFonts w:hint="default" w:ascii="Times New Roman" w:hAnsi="Times New Roman" w:eastAsia="华文楷体" w:cs="Times New Roman"/>
                      <w:b/>
                      <w:color w:val="auto"/>
                      <w:sz w:val="10"/>
                      <w:szCs w:val="10"/>
                    </w:rPr>
                  </w:pP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华文新魏" w:cs="Times New Roman"/>
                <w:b/>
                <w:color w:val="auto"/>
                <w:sz w:val="72"/>
                <w:szCs w:val="72"/>
                <w:u w:val="none"/>
                <w:lang w:val="en-US" w:eastAsia="zh-CN"/>
              </w:rPr>
            </w:pPr>
          </w:p>
          <w:p>
            <w:pPr>
              <w:spacing w:line="520" w:lineRule="exact"/>
              <w:jc w:val="center"/>
              <w:rPr>
                <w:rFonts w:hint="eastAsia"/>
                <w:color w:val="auto"/>
                <w:lang w:val="en-US" w:eastAsia="zh-CN"/>
              </w:rPr>
            </w:pPr>
            <w:r>
              <w:rPr>
                <w:rFonts w:hint="default" w:ascii="Times New Roman" w:hAnsi="Times New Roman" w:eastAsia="华文新魏" w:cs="Times New Roman"/>
                <w:b/>
                <w:color w:val="auto"/>
                <w:sz w:val="52"/>
                <w:szCs w:val="52"/>
                <w:u w:val="none"/>
                <w:lang w:val="en-US" w:eastAsia="zh-CN"/>
              </w:rPr>
              <w:t>目 录</w:t>
            </w:r>
          </w:p>
          <w:p>
            <w:pPr>
              <w:keepNext w:val="0"/>
              <w:keepLines w:val="0"/>
              <w:pageBreakBefore w:val="0"/>
              <w:widowControl w:val="0"/>
              <w:tabs>
                <w:tab w:val="right" w:leader="dot" w:pos="6300"/>
              </w:tabs>
              <w:kinsoku/>
              <w:wordWrap/>
              <w:overflowPunct/>
              <w:topLinePunct w:val="0"/>
              <w:autoSpaceDE/>
              <w:autoSpaceDN/>
              <w:bidi w:val="0"/>
              <w:adjustRightInd/>
              <w:snapToGrid/>
              <w:jc w:val="left"/>
              <w:textAlignment w:val="auto"/>
              <w:rPr>
                <w:rFonts w:hint="default" w:ascii="微软雅黑" w:hAnsi="微软雅黑" w:eastAsia="微软雅黑" w:cs="微软雅黑"/>
                <w:color w:val="auto"/>
                <w:spacing w:val="0"/>
                <w:sz w:val="28"/>
                <w:szCs w:val="28"/>
                <w:lang w:val="en-US" w:eastAsia="zh-CN"/>
              </w:rPr>
            </w:pPr>
            <w:r>
              <w:rPr>
                <w:rFonts w:hint="eastAsia" w:ascii="仿宋_GB2312" w:hAnsi="仿宋_GB2312" w:eastAsia="仿宋_GB2312" w:cs="仿宋_GB2312"/>
                <w:color w:val="auto"/>
                <w:spacing w:val="0"/>
                <w:sz w:val="28"/>
                <w:szCs w:val="28"/>
                <w:highlight w:val="none"/>
                <w:lang w:val="en-US" w:eastAsia="zh-CN"/>
              </w:rPr>
              <w:t xml:space="preserve">                                  </w:t>
            </w:r>
          </w:p>
          <w:p>
            <w:pPr>
              <w:jc w:val="left"/>
              <w:rPr>
                <w:rFonts w:hint="default" w:ascii="微软雅黑" w:hAnsi="微软雅黑" w:eastAsia="微软雅黑" w:cs="微软雅黑"/>
                <w:color w:val="auto"/>
                <w:spacing w:val="0"/>
                <w:sz w:val="28"/>
                <w:szCs w:val="28"/>
                <w:lang w:val="en-US" w:eastAsia="zh-CN"/>
              </w:rPr>
            </w:pPr>
            <w:r>
              <w:rPr>
                <w:rFonts w:hint="eastAsia" w:ascii="微软雅黑" w:hAnsi="微软雅黑" w:eastAsia="微软雅黑" w:cs="微软雅黑"/>
                <w:color w:val="auto"/>
                <w:spacing w:val="0"/>
                <w:sz w:val="28"/>
                <w:szCs w:val="28"/>
                <w:lang w:val="en-US" w:eastAsia="zh-CN"/>
              </w:rPr>
              <w:t xml:space="preserve">专家辅导报告                                                                                                                                                     </w:t>
            </w:r>
          </w:p>
          <w:p>
            <w:pPr>
              <w:spacing w:after="157" w:afterLines="50" w:line="240" w:lineRule="auto"/>
              <w:ind w:right="0" w:rightChars="0"/>
              <w:jc w:val="both"/>
              <w:rPr>
                <w:rFonts w:hint="default" w:ascii="Times New Roman" w:hAnsi="Times New Roman" w:eastAsia="宋体" w:cs="Times New Roman"/>
                <w:color w:val="auto"/>
                <w:spacing w:val="17"/>
                <w:sz w:val="28"/>
                <w:szCs w:val="28"/>
                <w:highlight w:val="none"/>
                <w:lang w:val="en-US" w:eastAsia="zh-CN"/>
              </w:rPr>
            </w:pPr>
            <w:r>
              <w:rPr>
                <w:rFonts w:hint="eastAsia" w:ascii="仿宋_GB2312" w:hAnsi="仿宋_GB2312" w:eastAsia="仿宋_GB2312" w:cs="仿宋_GB2312"/>
                <w:i w:val="0"/>
                <w:iCs w:val="0"/>
                <w:caps w:val="0"/>
                <w:spacing w:val="0"/>
                <w:sz w:val="28"/>
                <w:szCs w:val="28"/>
                <w:shd w:val="clear" w:fill="FFFFFF"/>
                <w:lang w:eastAsia="zh-CN"/>
              </w:rPr>
              <w:t>学校邀请李志义教授作</w:t>
            </w:r>
            <w:r>
              <w:rPr>
                <w:rFonts w:hint="eastAsia" w:ascii="仿宋_GB2312" w:hAnsi="仿宋_GB2312" w:eastAsia="仿宋_GB2312" w:cs="仿宋_GB2312"/>
                <w:i w:val="0"/>
                <w:iCs w:val="0"/>
                <w:caps w:val="0"/>
                <w:spacing w:val="0"/>
                <w:sz w:val="28"/>
                <w:szCs w:val="28"/>
                <w:shd w:val="clear" w:fill="FFFFFF"/>
              </w:rPr>
              <w:t>本科教育教学审核评估</w:t>
            </w:r>
            <w:r>
              <w:rPr>
                <w:rFonts w:hint="eastAsia" w:ascii="仿宋_GB2312" w:hAnsi="仿宋_GB2312" w:eastAsia="仿宋_GB2312" w:cs="仿宋_GB2312"/>
                <w:i w:val="0"/>
                <w:iCs w:val="0"/>
                <w:caps w:val="0"/>
                <w:spacing w:val="0"/>
                <w:sz w:val="28"/>
                <w:szCs w:val="28"/>
                <w:shd w:val="clear" w:fill="FFFFFF"/>
                <w:lang w:eastAsia="zh-CN"/>
              </w:rPr>
              <w:t>专题辅导报告</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pacing w:val="-6"/>
                <w:sz w:val="21"/>
                <w:szCs w:val="21"/>
                <w:highlight w:val="none"/>
                <w:lang w:val="en-US" w:eastAsia="zh-CN"/>
              </w:rPr>
              <w:t>…</w:t>
            </w:r>
            <w:r>
              <w:rPr>
                <w:rFonts w:hint="eastAsia" w:ascii="Times New Roman" w:hAnsi="Times New Roman" w:eastAsia="宋体" w:cs="Times New Roman"/>
                <w:color w:val="auto"/>
                <w:spacing w:val="17"/>
                <w:sz w:val="28"/>
                <w:szCs w:val="28"/>
                <w:highlight w:val="none"/>
                <w:lang w:val="en-US" w:eastAsia="zh-CN"/>
              </w:rPr>
              <w:t>1</w:t>
            </w:r>
          </w:p>
          <w:p>
            <w:pPr>
              <w:pStyle w:val="4"/>
              <w:rPr>
                <w:rFonts w:hint="eastAsia" w:ascii="Times New Roman" w:hAnsi="Times New Roman" w:eastAsia="仿宋_GB2312" w:cs="Times New Roman"/>
                <w:color w:val="auto"/>
                <w:spacing w:val="0"/>
                <w:sz w:val="28"/>
                <w:szCs w:val="28"/>
                <w:lang w:val="en-US" w:eastAsia="zh-CN"/>
              </w:rPr>
            </w:pPr>
          </w:p>
          <w:p>
            <w:pPr>
              <w:pStyle w:val="5"/>
              <w:rPr>
                <w:rFonts w:hint="eastAsia" w:ascii="Times New Roman" w:hAnsi="Times New Roman" w:eastAsia="仿宋_GB2312" w:cs="Times New Roman"/>
                <w:color w:val="auto"/>
                <w:spacing w:val="0"/>
                <w:sz w:val="28"/>
                <w:szCs w:val="28"/>
                <w:lang w:val="en-US" w:eastAsia="zh-CN"/>
              </w:rPr>
            </w:pPr>
          </w:p>
          <w:p>
            <w:pPr>
              <w:pStyle w:val="5"/>
              <w:rPr>
                <w:rFonts w:hint="eastAsia" w:ascii="Times New Roman" w:hAnsi="Times New Roman" w:eastAsia="仿宋_GB2312" w:cs="Times New Roman"/>
                <w:color w:val="auto"/>
                <w:spacing w:val="0"/>
                <w:sz w:val="28"/>
                <w:szCs w:val="28"/>
                <w:lang w:val="en-US" w:eastAsia="zh-CN"/>
              </w:rPr>
            </w:pPr>
          </w:p>
        </w:tc>
      </w:tr>
    </w:tbl>
    <w:p>
      <w:pPr>
        <w:keepNext w:val="0"/>
        <w:keepLines w:val="0"/>
        <w:pageBreakBefore w:val="0"/>
        <w:widowControl w:val="0"/>
        <w:tabs>
          <w:tab w:val="right" w:leader="dot" w:pos="6300"/>
        </w:tabs>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drawing>
          <wp:inline distT="0" distB="0" distL="114300" distR="114300">
            <wp:extent cx="2648585" cy="618490"/>
            <wp:effectExtent l="0" t="0" r="18415" b="10160"/>
            <wp:docPr id="3" name="图片 3" descr="校名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带校徽"/>
                    <pic:cNvPicPr>
                      <a:picLocks noChangeAspect="1"/>
                    </pic:cNvPicPr>
                  </pic:nvPicPr>
                  <pic:blipFill>
                    <a:blip r:embed="rId6"/>
                    <a:stretch>
                      <a:fillRect/>
                    </a:stretch>
                  </pic:blipFill>
                  <pic:spPr>
                    <a:xfrm>
                      <a:off x="0" y="0"/>
                      <a:ext cx="2648585" cy="618490"/>
                    </a:xfrm>
                    <a:prstGeom prst="rect">
                      <a:avLst/>
                    </a:prstGeom>
                  </pic:spPr>
                </pic:pic>
              </a:graphicData>
            </a:graphic>
          </wp:inline>
        </w:drawing>
      </w:r>
    </w:p>
    <w:p>
      <w:pPr>
        <w:keepNext w:val="0"/>
        <w:keepLines w:val="0"/>
        <w:pageBreakBefore w:val="0"/>
        <w:widowControl w:val="0"/>
        <w:tabs>
          <w:tab w:val="right" w:leader="dot" w:pos="6300"/>
        </w:tabs>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pacing w:val="0"/>
          <w:sz w:val="28"/>
          <w:szCs w:val="28"/>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jc w:val="left"/>
        <w:textAlignment w:val="auto"/>
        <w:outlineLvl w:val="0"/>
        <w:rPr>
          <w:rFonts w:hint="eastAsia" w:ascii="微软雅黑" w:hAnsi="微软雅黑" w:eastAsia="微软雅黑" w:cs="微软雅黑"/>
          <w:color w:val="auto"/>
          <w:spacing w:val="0"/>
          <w:sz w:val="30"/>
          <w:szCs w:val="30"/>
          <w:u w:val="double"/>
          <w:lang w:eastAsia="zh-CN"/>
        </w:rPr>
      </w:pPr>
      <w:r>
        <w:rPr>
          <w:rFonts w:hint="eastAsia" w:ascii="微软雅黑" w:hAnsi="微软雅黑" w:eastAsia="微软雅黑" w:cs="微软雅黑"/>
          <w:color w:val="auto"/>
          <w:spacing w:val="0"/>
          <w:sz w:val="30"/>
          <w:szCs w:val="30"/>
          <w:u w:val="double"/>
          <w:lang w:eastAsia="zh-CN"/>
        </w:rPr>
        <w:t>专家辅导报告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sz w:val="28"/>
          <w:szCs w:val="28"/>
          <w:lang w:val="en-US" w:eastAsia="zh-CN"/>
        </w:rPr>
      </w:pPr>
      <w:r>
        <w:rPr>
          <w:rFonts w:hint="eastAsia" w:ascii="微软雅黑" w:hAnsi="微软雅黑" w:eastAsia="微软雅黑" w:cs="微软雅黑"/>
          <w:b/>
          <w:bCs/>
          <w:color w:val="FF0000"/>
          <w:sz w:val="28"/>
          <w:szCs w:val="28"/>
        </w:rPr>
        <w:t>★</w:t>
      </w:r>
      <w:r>
        <w:rPr>
          <w:rFonts w:hint="eastAsia" w:ascii="仿宋_GB2312" w:hAnsi="仿宋_GB2312" w:eastAsia="仿宋_GB2312" w:cs="仿宋_GB2312"/>
          <w:b/>
          <w:bCs/>
          <w:sz w:val="28"/>
          <w:szCs w:val="28"/>
          <w:lang w:eastAsia="zh-CN"/>
        </w:rPr>
        <w:t>为更好理解</w:t>
      </w:r>
      <w:r>
        <w:rPr>
          <w:rFonts w:hint="eastAsia" w:ascii="仿宋_GB2312" w:hAnsi="仿宋_GB2312" w:eastAsia="仿宋_GB2312" w:cs="仿宋_GB2312"/>
          <w:b/>
          <w:bCs/>
          <w:sz w:val="28"/>
          <w:szCs w:val="28"/>
          <w:lang w:val="en-US" w:eastAsia="zh-CN"/>
        </w:rPr>
        <w:t>新一轮审核评估工作要求，更加科学精准做好各项工作，我校邀请大连理工大学原副校长李志义教授作题为《抓住重点 把握特点 切实做好自评自建工作》的专题辅导报告。校领导班子成员，</w:t>
      </w:r>
      <w:r>
        <w:rPr>
          <w:rFonts w:hint="default" w:ascii="仿宋_GB2312" w:hAnsi="仿宋_GB2312" w:eastAsia="仿宋_GB2312" w:cs="仿宋_GB2312"/>
          <w:b/>
          <w:bCs/>
          <w:sz w:val="28"/>
          <w:szCs w:val="28"/>
          <w:lang w:val="en-US" w:eastAsia="zh-CN"/>
        </w:rPr>
        <w:t>评估工作办公室成员，</w:t>
      </w:r>
      <w:r>
        <w:rPr>
          <w:rFonts w:hint="eastAsia" w:ascii="仿宋_GB2312" w:hAnsi="仿宋_GB2312" w:eastAsia="仿宋_GB2312" w:cs="仿宋_GB2312"/>
          <w:b/>
          <w:bCs/>
          <w:sz w:val="28"/>
          <w:szCs w:val="28"/>
          <w:lang w:val="en-US" w:eastAsia="zh-CN"/>
        </w:rPr>
        <w:t>各专项组负责人，有关职能部门负责人，二级学院领导班子成员，专业负责人、系主任、教学办主任、学工办主任、本科教学督导主任，校专职督导等聆听了讲座。</w:t>
      </w:r>
    </w:p>
    <w:p>
      <w:pPr>
        <w:pStyle w:val="2"/>
        <w:keepNext w:val="0"/>
        <w:keepLines w:val="0"/>
        <w:pageBreakBefore w:val="0"/>
        <w:widowControl w:val="0"/>
        <w:kinsoku/>
        <w:wordWrap/>
        <w:overflowPunct/>
        <w:topLinePunct w:val="0"/>
        <w:autoSpaceDE/>
        <w:autoSpaceDN/>
        <w:bidi w:val="0"/>
        <w:adjustRightInd/>
        <w:snapToGrid/>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drawing>
          <wp:anchor distT="0" distB="0" distL="114300" distR="114300" simplePos="0" relativeHeight="251659264" behindDoc="0" locked="0" layoutInCell="1" allowOverlap="1">
            <wp:simplePos x="0" y="0"/>
            <wp:positionH relativeFrom="column">
              <wp:posOffset>330835</wp:posOffset>
            </wp:positionH>
            <wp:positionV relativeFrom="paragraph">
              <wp:posOffset>83185</wp:posOffset>
            </wp:positionV>
            <wp:extent cx="4633595" cy="3071495"/>
            <wp:effectExtent l="0" t="0" r="14605" b="14605"/>
            <wp:wrapNone/>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7"/>
                    <a:stretch>
                      <a:fillRect/>
                    </a:stretch>
                  </pic:blipFill>
                  <pic:spPr>
                    <a:xfrm>
                      <a:off x="0" y="0"/>
                      <a:ext cx="4633595" cy="307149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jc w:val="both"/>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jc w:val="both"/>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jc w:val="both"/>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jc w:val="both"/>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jc w:val="both"/>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jc w:val="both"/>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rPr>
          <w:rFonts w:hint="eastAsia" w:ascii="仿宋_GB2312" w:hAnsi="宋体" w:eastAsia="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157" w:afterLines="50" w:line="500" w:lineRule="exact"/>
        <w:ind w:left="0" w:leftChars="0" w:firstLine="400" w:firstLineChars="200"/>
        <w:jc w:val="center"/>
        <w:textAlignment w:val="auto"/>
        <w:rPr>
          <w:rFonts w:hint="eastAsia" w:ascii="仿宋_GB2312" w:hAnsi="宋体" w:eastAsia="仿宋_GB2312"/>
          <w:sz w:val="28"/>
          <w:szCs w:val="28"/>
          <w:lang w:val="en-US" w:eastAsia="zh-CN"/>
        </w:rPr>
      </w:pPr>
      <w:r>
        <w:rPr>
          <w:rFonts w:hint="eastAsia" w:ascii="sans-serif" w:hAnsi="sans-serif" w:eastAsia="sans-serif" w:cs="sans-serif"/>
          <w:i w:val="0"/>
          <w:iCs w:val="0"/>
          <w:caps w:val="0"/>
          <w:spacing w:val="0"/>
          <w:sz w:val="20"/>
          <w:szCs w:val="20"/>
          <w:shd w:val="clear" w:fill="FFFFFF"/>
          <w:lang w:val="en-US" w:eastAsia="zh-CN"/>
        </w:rPr>
        <w:t>专家作专题报告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baseline"/>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李志义教授的讲座从三方面展开，分别是新一轮审核评估的核心要义、新一轮审核评估的三个重点、新一轮审核评估的四个特点。</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baseline"/>
        <w:rPr>
          <w:rFonts w:hint="eastAsia" w:ascii="仿宋_GB2312" w:hAnsi="宋体" w:eastAsia="仿宋_GB2312"/>
          <w:sz w:val="28"/>
          <w:szCs w:val="28"/>
          <w:lang w:val="en-US" w:eastAsia="zh-CN"/>
        </w:rPr>
      </w:pPr>
      <w:r>
        <w:rPr>
          <w:rFonts w:hint="eastAsia" w:ascii="仿宋_GB2312" w:hAnsi="宋体" w:eastAsia="仿宋_GB2312"/>
          <w:b/>
          <w:bCs/>
          <w:sz w:val="28"/>
          <w:szCs w:val="28"/>
          <w:lang w:val="en-US" w:eastAsia="zh-CN"/>
        </w:rPr>
        <w:t>围绕新一轮审核评估的核心要义</w:t>
      </w:r>
      <w:r>
        <w:rPr>
          <w:rFonts w:hint="eastAsia" w:ascii="仿宋_GB2312" w:hAnsi="宋体" w:eastAsia="仿宋_GB2312"/>
          <w:sz w:val="28"/>
          <w:szCs w:val="28"/>
          <w:lang w:val="en-US" w:eastAsia="zh-CN"/>
        </w:rPr>
        <w:t>，李教授介绍了不同评估模式的固有特征，强调了审核模式的目的性、目标性、取向性和驱动性，要自我检视：“该说的是不是说了，说了的是不是做了，做了是不是有效，无效的是不是改了”。</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baseline"/>
        <w:rPr>
          <w:rFonts w:hint="eastAsia" w:ascii="仿宋_GB2312" w:hAnsi="宋体" w:eastAsia="仿宋_GB2312"/>
          <w:sz w:val="28"/>
          <w:szCs w:val="28"/>
          <w:lang w:val="en-US" w:eastAsia="zh-CN"/>
        </w:rPr>
      </w:pPr>
      <w:r>
        <w:rPr>
          <w:rFonts w:hint="eastAsia" w:ascii="仿宋_GB2312" w:hAnsi="宋体" w:eastAsia="仿宋_GB2312"/>
          <w:b/>
          <w:bCs/>
          <w:sz w:val="28"/>
          <w:szCs w:val="28"/>
          <w:lang w:val="en-US" w:eastAsia="zh-CN"/>
        </w:rPr>
        <w:t>围绕新一轮审核评估的三个重点</w:t>
      </w:r>
      <w:r>
        <w:rPr>
          <w:rFonts w:hint="eastAsia" w:ascii="仿宋_GB2312" w:hAnsi="宋体" w:eastAsia="仿宋_GB2312"/>
          <w:sz w:val="28"/>
          <w:szCs w:val="28"/>
          <w:lang w:val="en-US" w:eastAsia="zh-CN"/>
        </w:rPr>
        <w:t>，李教授从OBE培养方案、OBE教学大纲的五大要素切入，详细阐述了</w:t>
      </w:r>
      <w:r>
        <w:rPr>
          <w:rFonts w:hint="eastAsia" w:ascii="仿宋_GB2312" w:hAnsi="宋体" w:eastAsia="仿宋_GB2312"/>
          <w:b/>
          <w:bCs/>
          <w:sz w:val="28"/>
          <w:szCs w:val="28"/>
          <w:lang w:val="en-US" w:eastAsia="zh-CN"/>
        </w:rPr>
        <w:t>什么是质量保障体系</w:t>
      </w:r>
      <w:r>
        <w:rPr>
          <w:rFonts w:hint="eastAsia" w:ascii="仿宋_GB2312" w:hAnsi="宋体" w:eastAsia="仿宋_GB2312"/>
          <w:sz w:val="28"/>
          <w:szCs w:val="28"/>
          <w:lang w:val="en-US" w:eastAsia="zh-CN"/>
        </w:rPr>
        <w:t>，即以保障和提高教育教学质量为目标，运用系统概念与方法，依靠必要的组织机构，把各部门各环节的质量管理活动严密组织起来，将影响教学质量的一切过程和因素实行有效监控，形成的一个有明确任务、职责、权限，互相协调，互相促进的质量管理的有机整体；</w:t>
      </w:r>
      <w:r>
        <w:rPr>
          <w:rFonts w:hint="eastAsia" w:ascii="仿宋_GB2312" w:hAnsi="宋体" w:eastAsia="仿宋_GB2312"/>
          <w:b/>
          <w:bCs/>
          <w:sz w:val="28"/>
          <w:szCs w:val="28"/>
          <w:lang w:val="en-US" w:eastAsia="zh-CN"/>
        </w:rPr>
        <w:t>为何建质量保障体系</w:t>
      </w:r>
      <w:r>
        <w:rPr>
          <w:rFonts w:hint="eastAsia" w:ascii="仿宋_GB2312" w:hAnsi="宋体" w:eastAsia="仿宋_GB2312"/>
          <w:sz w:val="28"/>
          <w:szCs w:val="28"/>
          <w:lang w:val="en-US" w:eastAsia="zh-CN"/>
        </w:rPr>
        <w:t>，即要实现增强质量保障意识，压实质量保障责任，完善质量保障体系，形成质量保障文化的目标；</w:t>
      </w:r>
      <w:r>
        <w:rPr>
          <w:rFonts w:hint="eastAsia" w:ascii="仿宋_GB2312" w:hAnsi="宋体" w:eastAsia="仿宋_GB2312"/>
          <w:b/>
          <w:bCs/>
          <w:sz w:val="28"/>
          <w:szCs w:val="28"/>
          <w:lang w:val="en-US" w:eastAsia="zh-CN"/>
        </w:rPr>
        <w:t>如何建质量保障体系</w:t>
      </w:r>
      <w:r>
        <w:rPr>
          <w:rFonts w:hint="eastAsia" w:ascii="仿宋_GB2312" w:hAnsi="宋体" w:eastAsia="仿宋_GB2312"/>
          <w:b w:val="0"/>
          <w:bCs w:val="0"/>
          <w:sz w:val="28"/>
          <w:szCs w:val="28"/>
          <w:lang w:val="en-US" w:eastAsia="zh-CN"/>
        </w:rPr>
        <w:t>，</w:t>
      </w:r>
      <w:r>
        <w:rPr>
          <w:rFonts w:hint="eastAsia" w:ascii="仿宋_GB2312" w:hAnsi="宋体" w:eastAsia="仿宋_GB2312"/>
          <w:sz w:val="28"/>
          <w:szCs w:val="28"/>
          <w:lang w:val="en-US" w:eastAsia="zh-CN"/>
        </w:rPr>
        <w:t xml:space="preserve">即建立质量保障体系的一般步骤：确定质量需要-根据质量需要建立质量目标和质量标准-确定实现质量目标必需的过程和职责-确定和提供实现质量目标必需的资源-规定评价每个过程有效性的方法-应用这些评价方法确定每个过程的有效性-确定防止和预防质量问题和薄弱环节并消除其产生原因的措施-建立和应用持续改进质量保证体系的过程。     </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baseline"/>
        <w:rPr>
          <w:rFonts w:hint="eastAsia" w:ascii="仿宋_GB2312" w:hAnsi="宋体" w:eastAsia="仿宋_GB2312"/>
          <w:sz w:val="28"/>
          <w:szCs w:val="28"/>
          <w:lang w:val="en-US" w:eastAsia="zh-CN"/>
        </w:rPr>
      </w:pPr>
      <w:r>
        <w:rPr>
          <w:rFonts w:hint="eastAsia" w:ascii="仿宋_GB2312" w:hAnsi="宋体" w:eastAsia="仿宋_GB2312"/>
          <w:b/>
          <w:bCs/>
          <w:sz w:val="28"/>
          <w:szCs w:val="28"/>
          <w:lang w:val="en-US" w:eastAsia="zh-CN"/>
        </w:rPr>
        <w:t>围绕新一轮审核评估的四个特点</w:t>
      </w:r>
      <w:r>
        <w:rPr>
          <w:rFonts w:hint="eastAsia" w:ascii="仿宋_GB2312" w:hAnsi="宋体" w:eastAsia="仿宋_GB2312"/>
          <w:b w:val="0"/>
          <w:bCs w:val="0"/>
          <w:sz w:val="28"/>
          <w:szCs w:val="28"/>
          <w:lang w:val="en-US" w:eastAsia="zh-CN"/>
        </w:rPr>
        <w:t>，</w:t>
      </w:r>
      <w:r>
        <w:rPr>
          <w:rFonts w:hint="eastAsia" w:ascii="仿宋_GB2312" w:hAnsi="宋体" w:eastAsia="仿宋_GB2312"/>
          <w:sz w:val="28"/>
          <w:szCs w:val="28"/>
          <w:lang w:val="en-US" w:eastAsia="zh-CN"/>
        </w:rPr>
        <w:t>李教授强调要突出教学资源与利用、教师队伍建设、学生发展及质量保障四个方面，并着重考察教学经费、教学资源条件、教师精力投入等优先保障本科教学的机制建设情况，学校各职能部门服务本科教育教学工作情况，本科教育教学工作在学校年度考核中的比重情况以及促进学生德智体美劳全面发展，建立系统化的学生发展和学业指导体系，探索学生成长增值评价，重视学生学习体验、自我发展能力和职业发展能力的具体措施及实施成效。</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baseline"/>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校党委书记许慧霞指出，李志义教授的报告结合习近平总书记关于教育的重要论述和重要讲话指示精神，对新一轮审核评估的</w:t>
      </w:r>
      <w:r>
        <w:rPr>
          <w:rFonts w:hint="eastAsia" w:ascii="仿宋_GB2312" w:hAnsi="宋体" w:eastAsia="仿宋_GB2312"/>
          <w:b/>
          <w:bCs/>
          <w:sz w:val="28"/>
          <w:szCs w:val="28"/>
          <w:lang w:val="en-US" w:eastAsia="zh-CN"/>
        </w:rPr>
        <w:t>核心要义、三个重点和四个特点</w:t>
      </w:r>
      <w:r>
        <w:rPr>
          <w:rFonts w:hint="eastAsia" w:ascii="仿宋_GB2312" w:hAnsi="宋体" w:eastAsia="仿宋_GB2312"/>
          <w:sz w:val="28"/>
          <w:szCs w:val="28"/>
          <w:lang w:val="en-US" w:eastAsia="zh-CN"/>
        </w:rPr>
        <w:t>进行了深入细致的阐述和解读，系统介绍了新一轮审核评估基本理念和工作思路，分析了高校在自评自建过程中易忽视和理解不透彻的关键点，报告内涵丰富，阐释深刻，指导性强，为我校开展审核评估工作注入了新理念，启发了新思路，提供了新方法。</w:t>
      </w:r>
    </w:p>
    <w:p>
      <w:pPr>
        <w:keepNext w:val="0"/>
        <w:keepLines w:val="0"/>
        <w:pageBreakBefore w:val="0"/>
        <w:widowControl w:val="0"/>
        <w:kinsoku/>
        <w:wordWrap/>
        <w:overflowPunct/>
        <w:topLinePunct w:val="0"/>
        <w:autoSpaceDE/>
        <w:autoSpaceDN/>
        <w:bidi w:val="0"/>
        <w:adjustRightInd/>
        <w:snapToGrid w:val="0"/>
        <w:spacing w:line="520" w:lineRule="atLeast"/>
        <w:ind w:left="0" w:leftChars="0" w:firstLine="560" w:firstLineChars="200"/>
        <w:textAlignment w:val="auto"/>
        <w:rPr>
          <w:rFonts w:hint="eastAsia" w:ascii="仿宋_GB2312" w:hAnsi="仿宋_GB2312" w:eastAsia="仿宋_GB2312" w:cs="仿宋_GB2312"/>
          <w:b w:val="0"/>
          <w:bCs/>
          <w:color w:val="auto"/>
          <w:sz w:val="28"/>
          <w:szCs w:val="28"/>
          <w:lang w:val="en-US" w:eastAsia="zh-CN"/>
        </w:rPr>
      </w:pPr>
    </w:p>
    <w:p>
      <w:bookmarkStart w:id="0" w:name="_GoBack"/>
      <w:bookmarkEnd w:id="0"/>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2010609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sans-serif">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DUyYzcwNjc4Mzc1MjBlNTkwMjFlZWE2YWZjZTEifQ=="/>
  </w:docVars>
  <w:rsids>
    <w:rsidRoot w:val="00000000"/>
    <w:rsid w:val="785A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Indent"/>
    <w:basedOn w:val="1"/>
    <w:autoRedefine/>
    <w:qFormat/>
    <w:uiPriority w:val="0"/>
    <w:pPr>
      <w:ind w:firstLine="420"/>
      <w:textAlignment w:val="baseline"/>
    </w:pPr>
    <w:rPr>
      <w:rFonts w:ascii="Calibri" w:hAnsi="Calibri"/>
    </w:rPr>
  </w:style>
  <w:style w:type="paragraph" w:styleId="3">
    <w:name w:val="Body Text"/>
    <w:basedOn w:val="1"/>
    <w:next w:val="4"/>
    <w:unhideWhenUsed/>
    <w:qFormat/>
    <w:uiPriority w:val="99"/>
    <w:pPr>
      <w:spacing w:after="120"/>
    </w:pPr>
    <w:rPr>
      <w:rFonts w:ascii="Times New Roman" w:hAnsi="Times New Roman"/>
    </w:rPr>
  </w:style>
  <w:style w:type="paragraph" w:styleId="4">
    <w:name w:val="Body Text First Indent"/>
    <w:basedOn w:val="3"/>
    <w:next w:val="5"/>
    <w:qFormat/>
    <w:uiPriority w:val="0"/>
    <w:pPr>
      <w:spacing w:after="0"/>
      <w:ind w:firstLine="420" w:firstLineChars="100"/>
    </w:pPr>
    <w:rPr>
      <w:rFonts w:ascii="Calibri" w:hAnsi="Calibri"/>
    </w:rPr>
  </w:style>
  <w:style w:type="paragraph" w:styleId="5">
    <w:name w:val="Plain Text"/>
    <w:basedOn w:val="1"/>
    <w:qFormat/>
    <w:uiPriority w:val="0"/>
    <w:rPr>
      <w:rFonts w:ascii="宋体" w:hAnsi="Courier New"/>
    </w:rPr>
  </w:style>
  <w:style w:type="paragraph" w:styleId="6">
    <w:name w:val="Body Text Indent"/>
    <w:basedOn w:val="1"/>
    <w:next w:val="1"/>
    <w:qFormat/>
    <w:uiPriority w:val="0"/>
    <w:pPr>
      <w:spacing w:line="200" w:lineRule="atLeast"/>
      <w:ind w:firstLine="301"/>
    </w:pPr>
    <w:rPr>
      <w:rFonts w:ascii="宋体" w:hAnsi="Courier New"/>
      <w:spacing w:val="-4"/>
      <w:sz w:val="18"/>
      <w:szCs w:val="20"/>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2024-07-10T07:31:24Z</dcterms:created>
  <dc:creator>Administrator</dc:creator>
  <cp:lastModifiedBy>Administrator</cp:lastModifiedBy>
  <dcterms:modified xsi:type="dcterms:W3CDTF">2024-07-10T07:32:24Z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910178899B1940A499687F2BED456A8D_12</vt:lpwstr>
  </property>
</Properties>
</file>