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803" w:tblpY="2696"/>
        <w:tblOverlap w:val="never"/>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17" w:hRule="atLeast"/>
        </w:trPr>
        <w:tc>
          <w:tcPr>
            <w:tcW w:w="8420" w:type="dxa"/>
            <w:tcBorders>
              <w:tl2br w:val="nil"/>
              <w:tr2bl w:val="nil"/>
            </w:tcBorders>
          </w:tcPr>
          <w:p>
            <w:pPr>
              <w:jc w:val="center"/>
              <w:rPr>
                <w:rFonts w:hint="eastAsia" w:ascii="微软雅黑" w:hAnsi="微软雅黑" w:eastAsia="微软雅黑" w:cs="微软雅黑"/>
                <w:color w:val="auto"/>
                <w:spacing w:val="113"/>
                <w:sz w:val="52"/>
                <w:szCs w:val="52"/>
                <w:lang w:eastAsia="zh-CN"/>
              </w:rPr>
            </w:pPr>
            <w:r>
              <w:rPr>
                <w:rFonts w:hint="eastAsia" w:asciiTheme="minorEastAsia" w:hAnsiTheme="minorEastAsia" w:cstheme="minorEastAsia"/>
                <w:color w:val="auto"/>
                <w:spacing w:val="57"/>
                <w:sz w:val="72"/>
                <w:szCs w:val="72"/>
                <w:lang w:eastAsia="zh-CN"/>
              </w:rPr>
              <w:t>审核</w:t>
            </w:r>
            <w:r>
              <w:rPr>
                <w:rFonts w:hint="eastAsia" w:asciiTheme="minorEastAsia" w:hAnsiTheme="minorEastAsia" w:eastAsiaTheme="minorEastAsia" w:cstheme="minorEastAsia"/>
                <w:color w:val="auto"/>
                <w:spacing w:val="57"/>
                <w:sz w:val="72"/>
                <w:szCs w:val="72"/>
                <w:lang w:eastAsia="zh-CN"/>
              </w:rPr>
              <w:t>评估简报</w:t>
            </w:r>
          </w:p>
          <w:p>
            <w:pPr>
              <w:jc w:val="center"/>
              <w:rPr>
                <w:rFonts w:hint="eastAsia" w:ascii="仿宋_GB2312" w:hAnsi="仿宋_GB2312" w:eastAsia="仿宋_GB2312" w:cs="仿宋_GB2312"/>
                <w:color w:val="auto"/>
                <w:spacing w:val="0"/>
                <w:sz w:val="24"/>
                <w:szCs w:val="24"/>
                <w:lang w:val="en-US" w:eastAsia="zh-CN"/>
              </w:rPr>
            </w:pPr>
            <w:r>
              <w:rPr>
                <w:rFonts w:hint="default" w:ascii="Times New Roman" w:hAnsi="Times New Roman" w:eastAsia="仿宋_GB2312" w:cs="Times New Roman"/>
                <w:color w:val="auto"/>
                <w:spacing w:val="0"/>
                <w:sz w:val="28"/>
                <w:szCs w:val="28"/>
                <w:lang w:val="en-US" w:eastAsia="zh-CN"/>
              </w:rPr>
              <w:t xml:space="preserve">2024年第1期  </w:t>
            </w:r>
          </w:p>
          <w:p>
            <w:pPr>
              <w:jc w:val="left"/>
              <w:rPr>
                <w:rFonts w:hint="eastAsia" w:ascii="仿宋_GB2312" w:hAnsi="仿宋_GB2312" w:eastAsia="仿宋_GB2312" w:cs="仿宋_GB2312"/>
                <w:color w:val="auto"/>
                <w:spacing w:val="0"/>
                <w:sz w:val="24"/>
                <w:szCs w:val="24"/>
                <w:lang w:val="en-US" w:eastAsia="zh-CN"/>
              </w:rPr>
            </w:pPr>
          </w:p>
          <w:p>
            <w:pPr>
              <w:spacing w:line="400" w:lineRule="exact"/>
              <w:jc w:val="left"/>
              <w:rPr>
                <w:rFonts w:hint="eastAsia"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eastAsia="zh-CN"/>
              </w:rPr>
              <w:t>主办：</w:t>
            </w:r>
            <w:r>
              <w:rPr>
                <w:rFonts w:ascii="Times New Roman" w:hAnsi="Times New Roman" w:eastAsia="仿宋" w:cs="Times New Roman"/>
                <w:b/>
                <w:i w:val="0"/>
                <w:iCs w:val="0"/>
                <w:caps w:val="0"/>
                <w:color w:val="auto"/>
                <w:spacing w:val="0"/>
                <w:sz w:val="24"/>
                <w:szCs w:val="24"/>
                <w:shd w:val="clear"/>
              </w:rPr>
              <w:t>本科教育教学审核评估工作办公室</w:t>
            </w:r>
          </w:p>
          <w:p>
            <w:pPr>
              <w:jc w:val="left"/>
              <w:rPr>
                <w:rFonts w:hint="eastAsia" w:ascii="仿宋_GB2312" w:hAnsi="仿宋_GB2312" w:eastAsia="仿宋_GB2312" w:cs="仿宋_GB2312"/>
                <w:color w:val="auto"/>
                <w:spacing w:val="0"/>
                <w:sz w:val="24"/>
                <w:szCs w:val="24"/>
                <w:lang w:val="en-US" w:eastAsia="zh-CN"/>
              </w:rPr>
            </w:pPr>
            <w:r>
              <w:rPr>
                <w:rFonts w:hint="default" w:ascii="Times New Roman" w:hAnsi="Times New Roman" w:eastAsia="仿宋" w:cs="Times New Roman"/>
                <w:b/>
                <w:color w:val="auto"/>
                <w:sz w:val="24"/>
                <w:szCs w:val="24"/>
                <w:lang w:eastAsia="zh-CN"/>
              </w:rPr>
              <w:t>承办：</w:t>
            </w:r>
            <w:r>
              <w:rPr>
                <w:rFonts w:ascii="Times New Roman" w:hAnsi="Times New Roman" w:eastAsia="仿宋" w:cs="Times New Roman"/>
                <w:b/>
                <w:i w:val="0"/>
                <w:iCs w:val="0"/>
                <w:caps w:val="0"/>
                <w:color w:val="auto"/>
                <w:spacing w:val="0"/>
                <w:sz w:val="24"/>
                <w:szCs w:val="24"/>
                <w:shd w:val="clear"/>
              </w:rPr>
              <w:t>本科教育教学审核评估工作办公室秘书处</w:t>
            </w:r>
            <w:r>
              <w:rPr>
                <w:rFonts w:hint="default" w:ascii="Times New Roman" w:hAnsi="Times New Roman" w:eastAsia="仿宋" w:cs="Times New Roman"/>
                <w:b/>
                <w:color w:val="auto"/>
                <w:sz w:val="24"/>
                <w:szCs w:val="24"/>
                <w:lang w:val="en-US" w:eastAsia="zh-CN"/>
              </w:rPr>
              <w:t xml:space="preserve">  </w:t>
            </w:r>
            <w:r>
              <w:rPr>
                <w:rFonts w:hint="eastAsia" w:ascii="仿宋_GB2312" w:hAnsi="仿宋_GB2312" w:eastAsia="仿宋_GB2312" w:cs="仿宋_GB2312"/>
                <w:color w:val="auto"/>
                <w:spacing w:val="0"/>
                <w:sz w:val="21"/>
                <w:szCs w:val="21"/>
                <w:lang w:val="en-US" w:eastAsia="zh-CN"/>
              </w:rPr>
              <w:t xml:space="preserve">          </w:t>
            </w:r>
            <w:r>
              <w:rPr>
                <w:rFonts w:hint="default" w:ascii="Times New Roman" w:hAnsi="Times New Roman" w:eastAsia="仿宋" w:cs="Times New Roman"/>
                <w:b/>
                <w:color w:val="auto"/>
                <w:sz w:val="24"/>
                <w:szCs w:val="24"/>
              </w:rPr>
              <w:t>20</w:t>
            </w:r>
            <w:r>
              <w:rPr>
                <w:rFonts w:hint="default" w:ascii="Times New Roman" w:hAnsi="Times New Roman" w:eastAsia="仿宋" w:cs="Times New Roman"/>
                <w:b/>
                <w:color w:val="auto"/>
                <w:sz w:val="24"/>
                <w:szCs w:val="24"/>
                <w:lang w:val="en-US" w:eastAsia="zh-CN"/>
              </w:rPr>
              <w:t>24</w:t>
            </w:r>
            <w:r>
              <w:rPr>
                <w:rFonts w:hint="default" w:ascii="Times New Roman" w:hAnsi="Times New Roman" w:eastAsia="仿宋" w:cs="Times New Roman"/>
                <w:b/>
                <w:color w:val="auto"/>
                <w:sz w:val="24"/>
                <w:szCs w:val="24"/>
              </w:rPr>
              <w:t>年</w:t>
            </w:r>
            <w:r>
              <w:rPr>
                <w:rFonts w:hint="default" w:ascii="Times New Roman" w:hAnsi="Times New Roman" w:eastAsia="仿宋" w:cs="Times New Roman"/>
                <w:b/>
                <w:color w:val="auto"/>
                <w:sz w:val="24"/>
                <w:szCs w:val="24"/>
                <w:lang w:val="en-US" w:eastAsia="zh-CN"/>
              </w:rPr>
              <w:t>5</w:t>
            </w:r>
            <w:r>
              <w:rPr>
                <w:rFonts w:hint="default" w:ascii="Times New Roman" w:hAnsi="Times New Roman" w:eastAsia="仿宋" w:cs="Times New Roman"/>
                <w:b/>
                <w:color w:val="auto"/>
                <w:sz w:val="24"/>
                <w:szCs w:val="24"/>
              </w:rPr>
              <w:t>月</w:t>
            </w:r>
            <w:r>
              <w:rPr>
                <w:rFonts w:hint="eastAsia" w:ascii="Times New Roman" w:hAnsi="Times New Roman" w:eastAsia="仿宋" w:cs="Times New Roman"/>
                <w:b/>
                <w:color w:val="auto"/>
                <w:sz w:val="24"/>
                <w:szCs w:val="24"/>
                <w:lang w:val="en-US" w:eastAsia="zh-CN"/>
              </w:rPr>
              <w:t>29</w:t>
            </w:r>
            <w:r>
              <w:rPr>
                <w:rFonts w:hint="default" w:ascii="Times New Roman" w:hAnsi="Times New Roman" w:eastAsia="仿宋" w:cs="Times New Roman"/>
                <w:b/>
                <w:color w:val="auto"/>
                <w:sz w:val="24"/>
                <w:szCs w:val="24"/>
              </w:rPr>
              <w:t>日</w:t>
            </w:r>
          </w:p>
          <w:tbl>
            <w:tblPr>
              <w:tblStyle w:val="8"/>
              <w:tblW w:w="8204" w:type="dxa"/>
              <w:jc w:val="center"/>
              <w:tblBorders>
                <w:top w:val="single" w:color="C0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04"/>
            </w:tblGrid>
            <w:tr>
              <w:tblPrEx>
                <w:tblBorders>
                  <w:top w:val="single" w:color="C0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jc w:val="center"/>
              </w:trPr>
              <w:tc>
                <w:tcPr>
                  <w:tcW w:w="8204" w:type="dxa"/>
                  <w:noWrap w:val="0"/>
                  <w:vAlign w:val="top"/>
                </w:tcPr>
                <w:p>
                  <w:pPr>
                    <w:adjustRightInd w:val="0"/>
                    <w:snapToGrid w:val="0"/>
                    <w:spacing w:line="360" w:lineRule="auto"/>
                    <w:jc w:val="both"/>
                    <w:rPr>
                      <w:rFonts w:hint="default" w:ascii="Times New Roman" w:hAnsi="Times New Roman" w:eastAsia="华文楷体" w:cs="Times New Roman"/>
                      <w:b/>
                      <w:color w:val="auto"/>
                      <w:sz w:val="10"/>
                      <w:szCs w:val="10"/>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华文新魏" w:cs="Times New Roman"/>
                <w:b/>
                <w:color w:val="auto"/>
                <w:sz w:val="72"/>
                <w:szCs w:val="72"/>
                <w:u w:val="none"/>
                <w:lang w:val="en-US" w:eastAsia="zh-CN"/>
              </w:rPr>
            </w:pPr>
          </w:p>
          <w:p>
            <w:pPr>
              <w:spacing w:line="520" w:lineRule="exact"/>
              <w:jc w:val="center"/>
              <w:rPr>
                <w:rFonts w:hint="eastAsia"/>
                <w:color w:val="auto"/>
                <w:lang w:val="en-US" w:eastAsia="zh-CN"/>
              </w:rPr>
            </w:pPr>
            <w:r>
              <w:rPr>
                <w:rFonts w:hint="default" w:ascii="Times New Roman" w:hAnsi="Times New Roman" w:eastAsia="华文新魏" w:cs="Times New Roman"/>
                <w:b/>
                <w:color w:val="auto"/>
                <w:sz w:val="52"/>
                <w:szCs w:val="52"/>
                <w:u w:val="none"/>
                <w:lang w:val="en-US" w:eastAsia="zh-CN"/>
              </w:rPr>
              <w:t>目 录</w:t>
            </w:r>
          </w:p>
          <w:p>
            <w:pPr>
              <w:keepNext w:val="0"/>
              <w:keepLines w:val="0"/>
              <w:pageBreakBefore w:val="0"/>
              <w:widowControl w:val="0"/>
              <w:tabs>
                <w:tab w:val="right" w:leader="dot" w:pos="6300"/>
              </w:tabs>
              <w:kinsoku/>
              <w:wordWrap/>
              <w:overflowPunct/>
              <w:topLinePunct w:val="0"/>
              <w:autoSpaceDE/>
              <w:autoSpaceDN/>
              <w:bidi w:val="0"/>
              <w:adjustRightInd/>
              <w:snapToGrid/>
              <w:jc w:val="left"/>
              <w:textAlignment w:val="auto"/>
              <w:rPr>
                <w:rFonts w:hint="default" w:ascii="微软雅黑" w:hAnsi="微软雅黑" w:eastAsia="微软雅黑" w:cs="微软雅黑"/>
                <w:color w:val="auto"/>
                <w:spacing w:val="0"/>
                <w:sz w:val="28"/>
                <w:szCs w:val="28"/>
                <w:lang w:val="en-US" w:eastAsia="zh-CN"/>
              </w:rPr>
            </w:pPr>
            <w:r>
              <w:rPr>
                <w:rFonts w:hint="eastAsia" w:ascii="仿宋_GB2312" w:hAnsi="仿宋_GB2312" w:eastAsia="仿宋_GB2312" w:cs="仿宋_GB2312"/>
                <w:color w:val="auto"/>
                <w:spacing w:val="0"/>
                <w:sz w:val="28"/>
                <w:szCs w:val="28"/>
                <w:highlight w:val="none"/>
                <w:lang w:val="en-US" w:eastAsia="zh-CN"/>
              </w:rPr>
              <w:t xml:space="preserve">                                  </w:t>
            </w:r>
          </w:p>
          <w:p>
            <w:pPr>
              <w:jc w:val="left"/>
              <w:rPr>
                <w:rFonts w:hint="default" w:ascii="微软雅黑" w:hAnsi="微软雅黑" w:eastAsia="微软雅黑" w:cs="微软雅黑"/>
                <w:color w:val="auto"/>
                <w:spacing w:val="0"/>
                <w:sz w:val="28"/>
                <w:szCs w:val="28"/>
                <w:lang w:val="en-US" w:eastAsia="zh-CN"/>
              </w:rPr>
            </w:pPr>
            <w:r>
              <w:rPr>
                <w:rFonts w:hint="eastAsia" w:ascii="微软雅黑" w:hAnsi="微软雅黑" w:eastAsia="微软雅黑" w:cs="微软雅黑"/>
                <w:color w:val="auto"/>
                <w:spacing w:val="0"/>
                <w:sz w:val="28"/>
                <w:szCs w:val="28"/>
                <w:lang w:eastAsia="zh-CN"/>
              </w:rPr>
              <w:t>动员大会</w:t>
            </w:r>
            <w:r>
              <w:rPr>
                <w:rFonts w:hint="eastAsia" w:ascii="微软雅黑" w:hAnsi="微软雅黑" w:eastAsia="微软雅黑" w:cs="微软雅黑"/>
                <w:color w:val="auto"/>
                <w:spacing w:val="0"/>
                <w:sz w:val="28"/>
                <w:szCs w:val="28"/>
                <w:lang w:val="en-US" w:eastAsia="zh-CN"/>
              </w:rPr>
              <w:t xml:space="preserve">                                                                                                                                                     </w:t>
            </w:r>
          </w:p>
          <w:p>
            <w:pPr>
              <w:spacing w:line="600" w:lineRule="exact"/>
              <w:ind w:right="0" w:rightChars="0"/>
              <w:jc w:val="both"/>
              <w:rPr>
                <w:rFonts w:hint="default" w:ascii="Times New Roman" w:hAnsi="Times New Roman" w:eastAsia="宋体" w:cs="Times New Roman"/>
                <w:color w:val="auto"/>
                <w:spacing w:val="17"/>
                <w:sz w:val="28"/>
                <w:szCs w:val="28"/>
                <w:highlight w:val="none"/>
                <w:lang w:val="en-US" w:eastAsia="zh-CN"/>
              </w:rPr>
            </w:pPr>
            <w:r>
              <w:rPr>
                <w:rFonts w:hint="eastAsia" w:ascii="Times New Roman" w:hAnsi="Times New Roman" w:eastAsia="仿宋_GB2312" w:cs="Times New Roman"/>
                <w:b w:val="0"/>
                <w:bCs w:val="0"/>
                <w:color w:val="auto"/>
                <w:sz w:val="28"/>
                <w:szCs w:val="28"/>
                <w:highlight w:val="none"/>
                <w:lang w:eastAsia="zh-CN"/>
              </w:rPr>
              <w:t>学校举行教育教学审核评估工作动员大会</w:t>
            </w:r>
            <w:r>
              <w:rPr>
                <w:rFonts w:hint="eastAsia" w:ascii="Times New Roman" w:hAnsi="Times New Roman" w:eastAsia="仿宋_GB2312" w:cs="Times New Roman"/>
                <w:b w:val="0"/>
                <w:bCs w:val="0"/>
                <w:color w:val="auto"/>
                <w:sz w:val="28"/>
                <w:szCs w:val="28"/>
                <w:highlight w:val="none"/>
                <w:lang w:val="en-US" w:eastAsia="zh-CN"/>
              </w:rPr>
              <w:t xml:space="preserve"> </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0"/>
                <w:sz w:val="21"/>
                <w:szCs w:val="21"/>
                <w:lang w:val="en-US" w:eastAsia="zh-CN"/>
              </w:rPr>
              <w:t>…</w:t>
            </w:r>
            <w:r>
              <w:rPr>
                <w:rFonts w:hint="eastAsia" w:ascii="宋体" w:hAnsi="宋体" w:eastAsia="宋体" w:cs="宋体"/>
                <w:color w:val="auto"/>
                <w:spacing w:val="0"/>
                <w:sz w:val="21"/>
                <w:szCs w:val="21"/>
                <w:highlight w:val="none"/>
                <w:lang w:val="en-US" w:eastAsia="zh-CN"/>
              </w:rPr>
              <w:t>…………</w:t>
            </w:r>
            <w:r>
              <w:rPr>
                <w:rFonts w:hint="eastAsia" w:ascii="Times New Roman" w:hAnsi="Times New Roman" w:eastAsia="宋体" w:cs="Times New Roman"/>
                <w:color w:val="auto"/>
                <w:spacing w:val="17"/>
                <w:sz w:val="28"/>
                <w:szCs w:val="28"/>
                <w:highlight w:val="none"/>
                <w:lang w:val="en-US" w:eastAsia="zh-CN"/>
              </w:rPr>
              <w:t>1</w:t>
            </w:r>
          </w:p>
          <w:p>
            <w:pPr>
              <w:pStyle w:val="4"/>
              <w:rPr>
                <w:rFonts w:hint="eastAsia" w:ascii="Times New Roman" w:hAnsi="Times New Roman" w:eastAsia="仿宋_GB2312" w:cs="Times New Roman"/>
                <w:color w:val="auto"/>
                <w:spacing w:val="0"/>
                <w:sz w:val="28"/>
                <w:szCs w:val="28"/>
                <w:lang w:val="en-US" w:eastAsia="zh-CN"/>
              </w:rPr>
            </w:pPr>
          </w:p>
          <w:p>
            <w:pPr>
              <w:pStyle w:val="5"/>
              <w:rPr>
                <w:rFonts w:hint="eastAsia" w:ascii="Times New Roman" w:hAnsi="Times New Roman" w:eastAsia="仿宋_GB2312" w:cs="Times New Roman"/>
                <w:color w:val="auto"/>
                <w:spacing w:val="0"/>
                <w:sz w:val="28"/>
                <w:szCs w:val="28"/>
                <w:lang w:val="en-US" w:eastAsia="zh-CN"/>
              </w:rPr>
            </w:pPr>
          </w:p>
          <w:p>
            <w:pPr>
              <w:pStyle w:val="5"/>
              <w:rPr>
                <w:rFonts w:hint="eastAsia" w:ascii="Times New Roman" w:hAnsi="Times New Roman" w:eastAsia="仿宋_GB2312" w:cs="Times New Roman"/>
                <w:color w:val="auto"/>
                <w:spacing w:val="0"/>
                <w:sz w:val="28"/>
                <w:szCs w:val="28"/>
                <w:lang w:val="en-US" w:eastAsia="zh-CN"/>
              </w:rPr>
            </w:pPr>
          </w:p>
        </w:tc>
      </w:tr>
    </w:tbl>
    <w:p>
      <w:pPr>
        <w:keepNext w:val="0"/>
        <w:keepLines w:val="0"/>
        <w:pageBreakBefore w:val="0"/>
        <w:widowControl w:val="0"/>
        <w:tabs>
          <w:tab w:val="right" w:leader="dot" w:pos="6300"/>
        </w:tabs>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drawing>
          <wp:inline distT="0" distB="0" distL="114300" distR="114300">
            <wp:extent cx="2648585" cy="618490"/>
            <wp:effectExtent l="0" t="0" r="18415" b="10160"/>
            <wp:docPr id="3" name="图片 3" descr="校名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带校徽"/>
                    <pic:cNvPicPr>
                      <a:picLocks noChangeAspect="1"/>
                    </pic:cNvPicPr>
                  </pic:nvPicPr>
                  <pic:blipFill>
                    <a:blip r:embed="rId6"/>
                    <a:stretch>
                      <a:fillRect/>
                    </a:stretch>
                  </pic:blipFill>
                  <pic:spPr>
                    <a:xfrm>
                      <a:off x="0" y="0"/>
                      <a:ext cx="2648585" cy="618490"/>
                    </a:xfrm>
                    <a:prstGeom prst="rect">
                      <a:avLst/>
                    </a:prstGeom>
                  </pic:spPr>
                </pic:pic>
              </a:graphicData>
            </a:graphic>
          </wp:inline>
        </w:drawing>
      </w:r>
    </w:p>
    <w:p>
      <w:pPr>
        <w:keepNext w:val="0"/>
        <w:keepLines w:val="0"/>
        <w:pageBreakBefore w:val="0"/>
        <w:widowControl w:val="0"/>
        <w:tabs>
          <w:tab w:val="right" w:leader="dot" w:pos="6300"/>
        </w:tabs>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pacing w:val="0"/>
          <w:sz w:val="28"/>
          <w:szCs w:val="28"/>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outlineLvl w:val="0"/>
        <w:rPr>
          <w:rFonts w:hint="eastAsia" w:ascii="微软雅黑" w:hAnsi="微软雅黑" w:eastAsia="微软雅黑" w:cs="微软雅黑"/>
          <w:color w:val="auto"/>
          <w:spacing w:val="0"/>
          <w:sz w:val="30"/>
          <w:szCs w:val="30"/>
          <w:u w:val="double"/>
          <w:lang w:eastAsia="zh-CN"/>
        </w:rPr>
      </w:pPr>
      <w:r>
        <w:rPr>
          <w:rFonts w:hint="eastAsia" w:ascii="微软雅黑" w:hAnsi="微软雅黑" w:eastAsia="微软雅黑" w:cs="微软雅黑"/>
          <w:color w:val="auto"/>
          <w:spacing w:val="0"/>
          <w:sz w:val="30"/>
          <w:szCs w:val="30"/>
          <w:u w:val="double"/>
          <w:lang w:val="en-US" w:eastAsia="zh-CN"/>
        </w:rPr>
        <w:t>动员大会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kern w:val="2"/>
          <w:sz w:val="28"/>
          <w:szCs w:val="28"/>
          <w:lang w:val="en-US" w:eastAsia="zh-CN" w:bidi="ar-SA"/>
        </w:rPr>
      </w:pPr>
      <w:r>
        <w:rPr>
          <w:rFonts w:hint="eastAsia" w:ascii="微软雅黑" w:hAnsi="微软雅黑" w:eastAsia="微软雅黑" w:cs="微软雅黑"/>
          <w:b/>
          <w:bCs/>
          <w:color w:val="FF0000"/>
          <w:sz w:val="28"/>
          <w:szCs w:val="28"/>
        </w:rPr>
        <w:t>★</w:t>
      </w:r>
      <w:r>
        <w:rPr>
          <w:rFonts w:hint="eastAsia" w:ascii="仿宋_GB2312" w:hAnsi="仿宋_GB2312" w:eastAsia="仿宋_GB2312" w:cs="仿宋_GB2312"/>
          <w:b/>
          <w:bCs/>
          <w:i w:val="0"/>
          <w:iCs w:val="0"/>
          <w:caps w:val="0"/>
          <w:spacing w:val="0"/>
          <w:sz w:val="28"/>
          <w:szCs w:val="28"/>
          <w:shd w:val="clear" w:fill="FFFFFF"/>
          <w:lang w:val="en-US" w:eastAsia="zh-CN"/>
        </w:rPr>
        <w:t>2024年5月24日，学校召开教育教学审核评估工作动员大会，校党委书记许慧霞主持并作重要讲话，副校长舒志定作工作部署，</w:t>
      </w:r>
      <w:r>
        <w:rPr>
          <w:rFonts w:hint="eastAsia" w:ascii="仿宋_GB2312" w:hAnsi="仿宋_GB2312" w:eastAsia="仿宋_GB2312" w:cs="仿宋_GB2312"/>
          <w:b/>
          <w:bCs/>
          <w:color w:val="auto"/>
          <w:kern w:val="2"/>
          <w:sz w:val="28"/>
          <w:szCs w:val="28"/>
          <w:lang w:val="en-US" w:eastAsia="zh-CN" w:bidi="ar-SA"/>
        </w:rPr>
        <w:t>参加本次大会的有校领导班子成员，评估工作办公室成员，各专项组负责人，有关职能部门负责人，二级学院领导班子成员，专业负责人、系主任、教学办主任、学工办主任、本科教学督导主任，校专职督导等。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r>
        <w:rPr>
          <w:rFonts w:hint="eastAsia" w:ascii="仿宋_GB2312" w:hAnsi="仿宋_GB2312" w:eastAsia="仿宋_GB2312" w:cs="仿宋_GB2312"/>
          <w:b w:val="0"/>
          <w:bCs w:val="0"/>
          <w:i w:val="0"/>
          <w:iCs w:val="0"/>
          <w:caps w:val="0"/>
          <w:spacing w:val="0"/>
          <w:sz w:val="28"/>
          <w:szCs w:val="28"/>
          <w:shd w:val="clear" w:fill="FFFFFF"/>
          <w:lang w:val="en-US" w:eastAsia="zh-CN"/>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144780</wp:posOffset>
            </wp:positionV>
            <wp:extent cx="4866005" cy="3440430"/>
            <wp:effectExtent l="0" t="0" r="10795" b="7620"/>
            <wp:wrapNone/>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4866005" cy="3440430"/>
                    </a:xfrm>
                    <a:prstGeom prst="rect">
                      <a:avLst/>
                    </a:prstGeom>
                  </pic:spPr>
                </pic:pic>
              </a:graphicData>
            </a:graphic>
          </wp:anchor>
        </w:drawing>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after="157" w:afterLines="50" w:line="500" w:lineRule="exact"/>
        <w:ind w:left="0" w:leftChars="0" w:firstLine="400" w:firstLineChars="200"/>
        <w:jc w:val="center"/>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r>
        <w:rPr>
          <w:rFonts w:ascii="sans-serif" w:hAnsi="sans-serif" w:eastAsia="sans-serif" w:cs="sans-serif"/>
          <w:i w:val="0"/>
          <w:iCs w:val="0"/>
          <w:caps w:val="0"/>
          <w:spacing w:val="0"/>
          <w:sz w:val="20"/>
          <w:szCs w:val="20"/>
          <w:shd w:val="clear" w:fill="FFFFFF"/>
        </w:rPr>
        <w:t>审</w:t>
      </w:r>
      <w:r>
        <w:rPr>
          <w:rFonts w:hint="default" w:ascii="sans-serif" w:hAnsi="sans-serif" w:eastAsia="sans-serif" w:cs="sans-serif"/>
          <w:i w:val="0"/>
          <w:iCs w:val="0"/>
          <w:caps w:val="0"/>
          <w:spacing w:val="0"/>
          <w:sz w:val="20"/>
          <w:szCs w:val="20"/>
          <w:shd w:val="clear" w:fill="FFFFFF"/>
        </w:rPr>
        <w:t>核评估工作动员大会现场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r>
        <w:rPr>
          <w:rFonts w:hint="eastAsia" w:ascii="仿宋_GB2312" w:hAnsi="仿宋_GB2312" w:eastAsia="仿宋_GB2312" w:cs="仿宋_GB2312"/>
          <w:b w:val="0"/>
          <w:bCs w:val="0"/>
          <w:i w:val="0"/>
          <w:iCs w:val="0"/>
          <w:caps w:val="0"/>
          <w:spacing w:val="0"/>
          <w:sz w:val="28"/>
          <w:szCs w:val="28"/>
          <w:shd w:val="clear" w:fill="FFFFFF"/>
          <w:lang w:val="en-US" w:eastAsia="zh-CN"/>
        </w:rPr>
        <w:t>副校长舒志定作工作部署。他指出，新一轮本科教育教学审核评估既是对上一轮评估以来学校教育教学工作的一次全面体检，也是对学校综合实力、整体发展的一次全面考察，新一轮审核评估事关学校生存发展大计。为更好地扎实推进学校迎评促建工作，他提出三点意见。</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r>
        <w:rPr>
          <w:rFonts w:hint="eastAsia" w:ascii="仿宋_GB2312" w:hAnsi="仿宋_GB2312" w:eastAsia="仿宋_GB2312" w:cs="仿宋_GB2312"/>
          <w:b/>
          <w:bCs/>
          <w:i w:val="0"/>
          <w:iCs w:val="0"/>
          <w:caps w:val="0"/>
          <w:spacing w:val="0"/>
          <w:sz w:val="28"/>
          <w:szCs w:val="28"/>
          <w:shd w:val="clear" w:fill="FFFFFF"/>
          <w:lang w:val="en-US" w:eastAsia="zh-CN"/>
        </w:rPr>
        <w:t>一是统一思想，深刻认识审核评估的重要意义。</w:t>
      </w:r>
      <w:r>
        <w:rPr>
          <w:rFonts w:hint="eastAsia" w:ascii="仿宋_GB2312" w:hAnsi="仿宋_GB2312" w:eastAsia="仿宋_GB2312" w:cs="仿宋_GB2312"/>
          <w:b w:val="0"/>
          <w:bCs w:val="0"/>
          <w:i w:val="0"/>
          <w:iCs w:val="0"/>
          <w:caps w:val="0"/>
          <w:spacing w:val="0"/>
          <w:sz w:val="28"/>
          <w:szCs w:val="28"/>
          <w:shd w:val="clear" w:fill="FFFFFF"/>
          <w:lang w:val="en-US" w:eastAsia="zh-CN"/>
        </w:rPr>
        <w:t>新一轮审核评估是紧扣教育强国建设目标，深化新时代高校分类评价督导革新的重大举措和教育现代化的重要治理手段。新一轮审核评估不仅要对学校教育教学改革、人才培养现状等进行全面把脉问诊，也会对学校育人模式、办学实力、发展水平等进行专业检验考察，新一轮审核评估是关乎学校未来全局发展的严峻挑战，是提升学校整体办学水平的难得机遇，必将对学校创建特色鲜明的高水平师范大学产生重大影响。各部门、各学院要把评估工作统合到常态化工作中去，以主人翁的姿态全力以赴地投入到审核评估中去；要广泛宣传，层层动员，充分调动全校师生员工参与审核评估的积极性和创造性，形成人人了解、人人关心、人人参与的浓厚评建氛围。</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r>
        <w:rPr>
          <w:rFonts w:hint="eastAsia" w:ascii="仿宋_GB2312" w:hAnsi="仿宋_GB2312" w:eastAsia="仿宋_GB2312" w:cs="仿宋_GB2312"/>
          <w:b/>
          <w:bCs/>
          <w:i w:val="0"/>
          <w:iCs w:val="0"/>
          <w:caps w:val="0"/>
          <w:spacing w:val="0"/>
          <w:sz w:val="28"/>
          <w:szCs w:val="28"/>
          <w:shd w:val="clear" w:fill="FFFFFF"/>
          <w:lang w:val="en-US" w:eastAsia="zh-CN"/>
        </w:rPr>
        <w:t>二是吃透政策，精准把握审核评估的工作要求。</w:t>
      </w:r>
      <w:r>
        <w:rPr>
          <w:rFonts w:hint="eastAsia" w:ascii="仿宋_GB2312" w:hAnsi="仿宋_GB2312" w:eastAsia="仿宋_GB2312" w:cs="仿宋_GB2312"/>
          <w:b w:val="0"/>
          <w:bCs w:val="0"/>
          <w:i w:val="0"/>
          <w:iCs w:val="0"/>
          <w:caps w:val="0"/>
          <w:spacing w:val="0"/>
          <w:sz w:val="28"/>
          <w:szCs w:val="28"/>
          <w:shd w:val="clear" w:fill="FFFFFF"/>
          <w:lang w:val="en-US" w:eastAsia="zh-CN"/>
        </w:rPr>
        <w:t>全体师生要始终坚持以评促建、以评促改、以评促管、以评促强的评估方针，精准把握审核评估的精髓和工作要求，进一步对标对表明确学校审核评估工作重点难点和主要任务。新一轮审核评估采取柔性分类方法，提供“评估套餐”，从教育全领域，到教育类型，再到教育的个性，最后到教育各阶段，层层聚焦，以评定向，促使学校在评估过程中找到自己的坐标。各部门和各学院在自评自建过程中，一定要找准定位，针对学校选定的类型和对应指标，紧密结合部门和学院的实际，客观阐述怎么想的（理念和思路）、怎么做的（工作和举措）、做得怎么样（实际效果），如何改进、改进效果怎么样，形成落实闭环。</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i w:val="0"/>
          <w:iCs w:val="0"/>
          <w:caps w:val="0"/>
          <w:spacing w:val="0"/>
          <w:sz w:val="28"/>
          <w:szCs w:val="28"/>
          <w:shd w:val="clear" w:fill="FFFFFF"/>
          <w:lang w:val="en-US" w:eastAsia="zh-CN"/>
        </w:rPr>
      </w:pPr>
      <w:r>
        <w:rPr>
          <w:rFonts w:hint="eastAsia" w:ascii="仿宋_GB2312" w:hAnsi="仿宋_GB2312" w:eastAsia="仿宋_GB2312" w:cs="仿宋_GB2312"/>
          <w:b/>
          <w:bCs/>
          <w:i w:val="0"/>
          <w:iCs w:val="0"/>
          <w:caps w:val="0"/>
          <w:spacing w:val="0"/>
          <w:sz w:val="28"/>
          <w:szCs w:val="28"/>
          <w:shd w:val="clear" w:fill="FFFFFF"/>
          <w:lang w:val="en-US" w:eastAsia="zh-CN"/>
        </w:rPr>
        <w:t>三是凝心聚力，扎实推进审核评估的各项任务。</w:t>
      </w:r>
      <w:r>
        <w:rPr>
          <w:rFonts w:hint="eastAsia" w:ascii="仿宋_GB2312" w:hAnsi="仿宋_GB2312" w:eastAsia="仿宋_GB2312" w:cs="仿宋_GB2312"/>
          <w:b w:val="0"/>
          <w:bCs w:val="0"/>
          <w:i w:val="0"/>
          <w:iCs w:val="0"/>
          <w:caps w:val="0"/>
          <w:spacing w:val="0"/>
          <w:sz w:val="28"/>
          <w:szCs w:val="28"/>
          <w:shd w:val="clear" w:fill="FFFFFF"/>
          <w:lang w:val="en-US" w:eastAsia="zh-CN"/>
        </w:rPr>
        <w:t>学校审核评估工作领导小组要切实加强对全校评估工作的研究、协调和统一领导，评估工作办公室要充分发挥“参谋长”和“指挥官”的作用，加强学习调研，精心设计方案，整体把握学校评建工作的节奏和速度，及时协调处理评估过程中出现的各种问题，确保审核评估各项工作顺利推进并取得实效。各专项组和职能部门、二级学院要进一步细化分解指标体系，责任到人，按时推进，强化督促落实，大家要心往一处想、劲往一处使，担当作为、攻坚克难、密切配合，以主人翁的奋进姿态投入到迎评的各项工作中，确保评估工作任务保质保量完成。</w:t>
      </w:r>
    </w:p>
    <w:p>
      <w:pPr>
        <w:adjustRightInd w:val="0"/>
        <w:snapToGrid w:val="0"/>
        <w:spacing w:beforeLines="0" w:afterLines="0" w:line="560" w:lineRule="exact"/>
        <w:ind w:firstLine="560" w:firstLineChars="200"/>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pPr>
      <w:r>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t>校党委书记许慧霞作总结讲话。她强调，今天的会议既是审核评估的动员会，也是部署会、推进会，并就全力以赴推进学校本科教育教学审核评估工作提出三点要求。</w:t>
      </w: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r>
        <w:rPr>
          <w:rFonts w:hint="eastAsia" w:ascii="仿宋_GB2312" w:hAnsi="仿宋_GB2312" w:eastAsia="仿宋_GB2312" w:cs="仿宋_GB2312"/>
          <w:b/>
          <w:bCs/>
          <w:i w:val="0"/>
          <w:iCs w:val="0"/>
          <w:caps w:val="0"/>
          <w:spacing w:val="0"/>
          <w:kern w:val="2"/>
          <w:sz w:val="28"/>
          <w:szCs w:val="28"/>
          <w:shd w:val="clear" w:fill="FFFFFF"/>
          <w:lang w:val="en-US" w:eastAsia="zh-CN" w:bidi="ar-SA"/>
        </w:rPr>
        <w:drawing>
          <wp:anchor distT="0" distB="0" distL="114300" distR="114300" simplePos="0" relativeHeight="251660288" behindDoc="0" locked="0" layoutInCell="1" allowOverlap="1">
            <wp:simplePos x="0" y="0"/>
            <wp:positionH relativeFrom="column">
              <wp:posOffset>357505</wp:posOffset>
            </wp:positionH>
            <wp:positionV relativeFrom="paragraph">
              <wp:posOffset>124460</wp:posOffset>
            </wp:positionV>
            <wp:extent cx="4706620" cy="3038475"/>
            <wp:effectExtent l="0" t="0" r="17780" b="9525"/>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4706620" cy="3038475"/>
                    </a:xfrm>
                    <a:prstGeom prst="rect">
                      <a:avLst/>
                    </a:prstGeom>
                  </pic:spPr>
                </pic:pic>
              </a:graphicData>
            </a:graphic>
          </wp:anchor>
        </w:drawing>
      </w: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adjustRightInd w:val="0"/>
        <w:snapToGrid w:val="0"/>
        <w:spacing w:beforeLines="0" w:afterLines="0" w:line="560" w:lineRule="exact"/>
        <w:ind w:firstLine="560" w:firstLineChars="200"/>
        <w:rPr>
          <w:rFonts w:hint="eastAsia" w:ascii="仿宋_GB2312" w:hAnsi="仿宋_GB2312" w:eastAsia="仿宋_GB2312" w:cs="仿宋_GB2312"/>
          <w:b/>
          <w:bCs/>
          <w:i w:val="0"/>
          <w:iCs w:val="0"/>
          <w:caps w:val="0"/>
          <w:spacing w:val="0"/>
          <w:kern w:val="2"/>
          <w:sz w:val="28"/>
          <w:szCs w:val="28"/>
          <w:shd w:val="clear" w:fill="FFFFFF"/>
          <w:lang w:val="en-US" w:eastAsia="zh-CN" w:bidi="ar-SA"/>
        </w:rPr>
      </w:pPr>
    </w:p>
    <w:p>
      <w:pPr>
        <w:pStyle w:val="6"/>
        <w:spacing w:after="157" w:afterLines="50" w:line="500" w:lineRule="exact"/>
        <w:ind w:firstLine="400" w:firstLineChars="200"/>
        <w:jc w:val="center"/>
        <w:textAlignment w:val="auto"/>
        <w:rPr>
          <w:rFonts w:hint="eastAsia" w:ascii="仿宋_GB2312" w:hAnsi="仿宋_GB2312" w:eastAsia="仿宋_GB2312" w:cs="仿宋_GB2312"/>
          <w:b/>
          <w:bCs/>
          <w:i w:val="0"/>
          <w:iCs w:val="0"/>
          <w:caps w:val="0"/>
          <w:spacing w:val="0"/>
          <w:kern w:val="2"/>
          <w:sz w:val="28"/>
          <w:szCs w:val="28"/>
          <w:shd w:val="clear" w:fill="FFFFFF"/>
          <w:lang w:val="en-US" w:eastAsia="zh-CN" w:bidi="ar-SA"/>
        </w:rPr>
      </w:pPr>
      <w:r>
        <w:rPr>
          <w:rFonts w:hint="eastAsia" w:ascii="sans-serif" w:hAnsi="sans-serif" w:eastAsia="sans-serif" w:cs="sans-serif"/>
          <w:i w:val="0"/>
          <w:iCs w:val="0"/>
          <w:caps w:val="0"/>
          <w:spacing w:val="0"/>
          <w:sz w:val="20"/>
          <w:szCs w:val="20"/>
          <w:shd w:val="clear" w:fill="FFFFFF"/>
          <w:lang w:val="en-US" w:eastAsia="zh-CN"/>
        </w:rPr>
        <w:t>许慧霞书记作总结讲话</w:t>
      </w:r>
    </w:p>
    <w:p>
      <w:pPr>
        <w:adjustRightInd w:val="0"/>
        <w:snapToGrid w:val="0"/>
        <w:spacing w:beforeLines="0" w:afterLines="0" w:line="560" w:lineRule="exact"/>
        <w:ind w:firstLine="560" w:firstLineChars="200"/>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pPr>
      <w:r>
        <w:rPr>
          <w:rFonts w:hint="eastAsia" w:ascii="仿宋_GB2312" w:hAnsi="仿宋_GB2312" w:eastAsia="仿宋_GB2312" w:cs="仿宋_GB2312"/>
          <w:b/>
          <w:bCs/>
          <w:i w:val="0"/>
          <w:iCs w:val="0"/>
          <w:caps w:val="0"/>
          <w:spacing w:val="0"/>
          <w:kern w:val="2"/>
          <w:sz w:val="28"/>
          <w:szCs w:val="28"/>
          <w:shd w:val="clear" w:fill="FFFFFF"/>
          <w:lang w:val="en-US" w:eastAsia="zh-CN" w:bidi="ar-SA"/>
        </w:rPr>
        <w:t>一是提高站位、凝聚共识，迎接审核评估“大体检”。</w:t>
      </w:r>
      <w:r>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t xml:space="preserve">全校上下要正确认识本科教育教学审核评估对于推动学校事业发展的重要作用，深入理解新一轮审核评估在“导向、理念、内涵、做法”上新的变化，以更加饱满的精神状态、更加强烈的责任担当、更加创新的思路举措，全力以赴抓好审核评估各项工作落实。  </w:t>
      </w:r>
    </w:p>
    <w:p>
      <w:pPr>
        <w:adjustRightInd w:val="0"/>
        <w:snapToGrid w:val="0"/>
        <w:spacing w:beforeLines="0" w:afterLines="0" w:line="560" w:lineRule="exact"/>
        <w:ind w:firstLine="560" w:firstLineChars="200"/>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pPr>
      <w:r>
        <w:rPr>
          <w:rFonts w:hint="eastAsia" w:ascii="仿宋_GB2312" w:hAnsi="仿宋_GB2312" w:eastAsia="仿宋_GB2312" w:cs="仿宋_GB2312"/>
          <w:b/>
          <w:bCs/>
          <w:i w:val="0"/>
          <w:iCs w:val="0"/>
          <w:caps w:val="0"/>
          <w:spacing w:val="0"/>
          <w:kern w:val="2"/>
          <w:sz w:val="28"/>
          <w:szCs w:val="28"/>
          <w:shd w:val="clear" w:fill="FFFFFF"/>
          <w:lang w:val="en-US" w:eastAsia="zh-CN" w:bidi="ar-SA"/>
        </w:rPr>
        <w:t>二是以评促建、精准施策，筑牢人才培养“主阵地”。</w:t>
      </w:r>
      <w:r>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t>要把人才培养放在教育科技人才综合改革的头阵位置，深化思政教育与校园文化建设协同育人，打造高水平师资队伍，加强数字化教学资源建设，全面提升拔尖创新人才自主培养能力。</w:t>
      </w:r>
    </w:p>
    <w:p>
      <w:pPr>
        <w:adjustRightInd w:val="0"/>
        <w:snapToGrid w:val="0"/>
        <w:spacing w:beforeLines="0" w:afterLines="0" w:line="560" w:lineRule="exact"/>
        <w:ind w:firstLine="560" w:firstLineChars="200"/>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pPr>
      <w:r>
        <w:rPr>
          <w:rFonts w:hint="eastAsia" w:ascii="仿宋_GB2312" w:hAnsi="仿宋_GB2312" w:eastAsia="仿宋_GB2312" w:cs="仿宋_GB2312"/>
          <w:b/>
          <w:bCs/>
          <w:i w:val="0"/>
          <w:iCs w:val="0"/>
          <w:caps w:val="0"/>
          <w:spacing w:val="0"/>
          <w:kern w:val="2"/>
          <w:sz w:val="28"/>
          <w:szCs w:val="28"/>
          <w:shd w:val="clear" w:fill="FFFFFF"/>
          <w:lang w:val="en-US" w:eastAsia="zh-CN" w:bidi="ar-SA"/>
        </w:rPr>
        <w:t>三是全员参与、全力推进，统筹全校上下“一盘棋”。</w:t>
      </w:r>
      <w:r>
        <w:rPr>
          <w:rFonts w:hint="eastAsia" w:ascii="仿宋_GB2312" w:hAnsi="仿宋_GB2312" w:eastAsia="仿宋_GB2312" w:cs="仿宋_GB2312"/>
          <w:b w:val="0"/>
          <w:bCs w:val="0"/>
          <w:i w:val="0"/>
          <w:iCs w:val="0"/>
          <w:caps w:val="0"/>
          <w:spacing w:val="0"/>
          <w:kern w:val="2"/>
          <w:sz w:val="28"/>
          <w:szCs w:val="28"/>
          <w:shd w:val="clear" w:fill="FFFFFF"/>
          <w:lang w:val="en-US" w:eastAsia="zh-CN" w:bidi="ar-SA"/>
        </w:rPr>
        <w:t>全校各级领导班子要以评估为手段，强化问题导向、加强组织领导，严格执行“一把手”负责制，牢固树立“一盘棋”思想，凝心聚力“一张图”谋发展，扎实做好审核评估各项工作，确保高质量通过审核评估。</w:t>
      </w:r>
    </w:p>
    <w:p>
      <w:pPr>
        <w:widowControl/>
        <w:tabs>
          <w:tab w:val="left" w:pos="434"/>
        </w:tabs>
        <w:ind w:firstLine="560"/>
        <w:rPr>
          <w:rFonts w:hint="eastAsia" w:ascii="仿宋_GB2312" w:hAnsi="仿宋_GB2312" w:eastAsia="仿宋_GB2312" w:cs="仿宋_GB2312"/>
          <w:color w:val="auto"/>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val="0"/>
        <w:spacing w:line="520" w:lineRule="atLeast"/>
        <w:ind w:left="0" w:leftChars="0" w:firstLine="560" w:firstLineChars="200"/>
        <w:textAlignment w:val="auto"/>
        <w:rPr>
          <w:rFonts w:hint="eastAsia" w:ascii="仿宋_GB2312" w:hAnsi="仿宋_GB2312" w:eastAsia="仿宋_GB2312" w:cs="仿宋_GB2312"/>
          <w:b w:val="0"/>
          <w:bCs/>
          <w:color w:val="auto"/>
          <w:sz w:val="28"/>
          <w:szCs w:val="28"/>
          <w:lang w:val="en-US" w:eastAsia="zh-CN"/>
        </w:rPr>
      </w:pPr>
    </w:p>
    <w:p>
      <w:bookmarkStart w:id="0" w:name="_GoBack"/>
      <w:bookmarkEnd w:id="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2010609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sans-serif">
    <w:altName w:val="MingLiU"/>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DUyYzcwNjc4Mzc1MjBlNTkwMjFlZWE2YWZjZTEifQ=="/>
  </w:docVars>
  <w:rsids>
    <w:rsidRoot w:val="00000000"/>
    <w:rsid w:val="5313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NormalIndent"/>
    <w:basedOn w:val="1"/>
    <w:autoRedefine/>
    <w:qFormat/>
    <w:uiPriority w:val="0"/>
    <w:pPr>
      <w:ind w:firstLine="420"/>
      <w:textAlignment w:val="baseline"/>
    </w:pPr>
    <w:rPr>
      <w:rFonts w:ascii="Calibri" w:hAnsi="Calibri"/>
    </w:rPr>
  </w:style>
  <w:style w:type="paragraph" w:styleId="3">
    <w:name w:val="Body Text"/>
    <w:basedOn w:val="1"/>
    <w:next w:val="4"/>
    <w:unhideWhenUsed/>
    <w:qFormat/>
    <w:uiPriority w:val="99"/>
    <w:pPr>
      <w:spacing w:after="120"/>
    </w:pPr>
    <w:rPr>
      <w:rFonts w:ascii="Times New Roman" w:hAnsi="Times New Roman"/>
    </w:rPr>
  </w:style>
  <w:style w:type="paragraph" w:styleId="4">
    <w:name w:val="Body Text First Indent"/>
    <w:basedOn w:val="3"/>
    <w:next w:val="5"/>
    <w:qFormat/>
    <w:uiPriority w:val="0"/>
    <w:pPr>
      <w:spacing w:after="0"/>
      <w:ind w:firstLine="420" w:firstLineChars="100"/>
    </w:pPr>
    <w:rPr>
      <w:rFonts w:ascii="Calibri" w:hAnsi="Calibri"/>
    </w:rPr>
  </w:style>
  <w:style w:type="paragraph" w:styleId="5">
    <w:name w:val="Plain Text"/>
    <w:basedOn w:val="1"/>
    <w:qFormat/>
    <w:uiPriority w:val="0"/>
    <w:rPr>
      <w:rFonts w:ascii="宋体" w:hAnsi="Courier New"/>
    </w:rPr>
  </w:style>
  <w:style w:type="paragraph" w:styleId="6">
    <w:name w:val="Body Text Indent"/>
    <w:basedOn w:val="1"/>
    <w:next w:val="1"/>
    <w:qFormat/>
    <w:uiPriority w:val="0"/>
    <w:pPr>
      <w:spacing w:line="200" w:lineRule="atLeast"/>
      <w:ind w:firstLine="301"/>
    </w:pPr>
    <w:rPr>
      <w:rFonts w:ascii="宋体" w:hAnsi="Courier New"/>
      <w:spacing w:val="-4"/>
      <w:sz w:val="18"/>
      <w:szCs w:val="20"/>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2024-07-10T07:28:55Z</dcterms:created>
  <dc:creator>Administrator</dc:creator>
  <cp:lastModifiedBy>Administrator</cp:lastModifiedBy>
  <dcterms:modified xsi:type="dcterms:W3CDTF">2024-07-10T07:30:37Z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EB8CC4B0EF78473393CAC8190551CC0B_12</vt:lpwstr>
  </property>
</Properties>
</file>